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2" w:rsidRDefault="00D623C2" w:rsidP="00D623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1559"/>
        <w:gridCol w:w="2212"/>
        <w:gridCol w:w="963"/>
        <w:gridCol w:w="879"/>
        <w:gridCol w:w="878"/>
      </w:tblGrid>
      <w:tr w:rsidR="00D623C2" w:rsidRPr="00941460" w:rsidTr="00F41042">
        <w:trPr>
          <w:trHeight w:val="275"/>
        </w:trPr>
        <w:tc>
          <w:tcPr>
            <w:tcW w:w="3085" w:type="dxa"/>
            <w:vMerge w:val="restart"/>
          </w:tcPr>
          <w:p w:rsidR="00D623C2" w:rsidRPr="00350D21" w:rsidRDefault="00D623C2" w:rsidP="00F41042">
            <w:pPr>
              <w:jc w:val="center"/>
              <w:rPr>
                <w:rFonts w:eastAsia="Times New Roman" w:cs="Times New Roman"/>
                <w:b/>
                <w:szCs w:val="24"/>
                <w:lang w:val="en-IN" w:eastAsia="en-IN" w:bidi="ks-Deva"/>
              </w:rPr>
            </w:pPr>
            <w:r w:rsidRPr="005F0CCB">
              <w:rPr>
                <w:rFonts w:cs="Times New Roman"/>
                <w:b/>
                <w:szCs w:val="24"/>
              </w:rPr>
              <w:t xml:space="preserve">Subject: </w:t>
            </w:r>
            <w:r w:rsidRPr="00350D21">
              <w:rPr>
                <w:rFonts w:eastAsia="Times New Roman" w:cs="Times New Roman"/>
                <w:b/>
                <w:szCs w:val="24"/>
                <w:lang w:val="en-IN" w:eastAsia="en-IN" w:bidi="ks-Deva"/>
              </w:rPr>
              <w:t>Ethics and</w:t>
            </w:r>
          </w:p>
          <w:p w:rsidR="00D623C2" w:rsidRPr="00350D21" w:rsidRDefault="00D623C2" w:rsidP="00F41042">
            <w:pPr>
              <w:jc w:val="center"/>
              <w:rPr>
                <w:rFonts w:eastAsia="Times New Roman" w:cs="Times New Roman"/>
                <w:b/>
                <w:szCs w:val="24"/>
                <w:lang w:val="en-IN" w:eastAsia="en-IN" w:bidi="ks-Deva"/>
              </w:rPr>
            </w:pPr>
            <w:r w:rsidRPr="00350D21">
              <w:rPr>
                <w:rFonts w:eastAsia="Times New Roman" w:cs="Times New Roman"/>
                <w:b/>
                <w:szCs w:val="24"/>
                <w:lang w:val="en-IN" w:eastAsia="en-IN" w:bidi="ks-Deva"/>
              </w:rPr>
              <w:t>Self-Awareness</w:t>
            </w:r>
          </w:p>
          <w:p w:rsidR="00D623C2" w:rsidRPr="00941460" w:rsidRDefault="00D623C2" w:rsidP="00F4104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(Code:HST201</w:t>
            </w:r>
            <w:r w:rsidRPr="00350D21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3771" w:type="dxa"/>
            <w:gridSpan w:val="2"/>
            <w:vMerge w:val="restart"/>
          </w:tcPr>
          <w:p w:rsidR="00D623C2" w:rsidRDefault="00D623C2" w:rsidP="00F41042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Year &amp; Semester: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B.Tech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Chemical Engineering </w:t>
            </w:r>
          </w:p>
          <w:p w:rsidR="00D623C2" w:rsidRPr="00F33D7C" w:rsidRDefault="00D623C2" w:rsidP="00F41042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Pr="00DA792F">
              <w:rPr>
                <w:rFonts w:cs="Times New Roman"/>
                <w:b/>
                <w:bCs/>
                <w:szCs w:val="24"/>
                <w:vertAlign w:val="superscript"/>
              </w:rPr>
              <w:t>nd</w:t>
            </w:r>
            <w:r>
              <w:rPr>
                <w:rFonts w:cs="Times New Roman"/>
                <w:b/>
                <w:bCs/>
                <w:szCs w:val="24"/>
              </w:rPr>
              <w:t xml:space="preserve"> Year &amp; 3</w:t>
            </w:r>
            <w:r w:rsidRPr="00DA792F">
              <w:rPr>
                <w:rFonts w:cs="Times New Roman"/>
                <w:b/>
                <w:bCs/>
                <w:szCs w:val="24"/>
                <w:vertAlign w:val="superscript"/>
              </w:rPr>
              <w:t>rd</w:t>
            </w:r>
            <w:r w:rsidRPr="00941460">
              <w:rPr>
                <w:rFonts w:cs="Times New Roman"/>
                <w:b/>
                <w:bCs/>
                <w:szCs w:val="24"/>
              </w:rPr>
              <w:t xml:space="preserve"> Semester </w:t>
            </w:r>
          </w:p>
        </w:tc>
        <w:tc>
          <w:tcPr>
            <w:tcW w:w="2720" w:type="dxa"/>
            <w:gridSpan w:val="3"/>
          </w:tcPr>
          <w:p w:rsidR="00D623C2" w:rsidRPr="00941460" w:rsidRDefault="00D623C2" w:rsidP="00F4104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Total Course Credit: 2</w:t>
            </w:r>
          </w:p>
        </w:tc>
      </w:tr>
      <w:tr w:rsidR="00D623C2" w:rsidRPr="00941460" w:rsidTr="00F41042">
        <w:trPr>
          <w:trHeight w:val="275"/>
        </w:trPr>
        <w:tc>
          <w:tcPr>
            <w:tcW w:w="3085" w:type="dxa"/>
            <w:vMerge/>
          </w:tcPr>
          <w:p w:rsidR="00D623C2" w:rsidRPr="00941460" w:rsidRDefault="00D623C2" w:rsidP="00F4104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71" w:type="dxa"/>
            <w:gridSpan w:val="2"/>
            <w:vMerge/>
          </w:tcPr>
          <w:p w:rsidR="00D623C2" w:rsidRDefault="00D623C2" w:rsidP="00F4104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szCs w:val="24"/>
              </w:rPr>
              <w:t>T</w:t>
            </w:r>
          </w:p>
        </w:tc>
        <w:tc>
          <w:tcPr>
            <w:tcW w:w="878" w:type="dxa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szCs w:val="24"/>
              </w:rPr>
              <w:t>P</w:t>
            </w:r>
          </w:p>
        </w:tc>
      </w:tr>
      <w:tr w:rsidR="00D623C2" w:rsidRPr="00941460" w:rsidTr="00F41042">
        <w:trPr>
          <w:trHeight w:val="275"/>
        </w:trPr>
        <w:tc>
          <w:tcPr>
            <w:tcW w:w="3085" w:type="dxa"/>
            <w:vMerge/>
          </w:tcPr>
          <w:p w:rsidR="00D623C2" w:rsidRPr="00941460" w:rsidRDefault="00D623C2" w:rsidP="00F4104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71" w:type="dxa"/>
            <w:gridSpan w:val="2"/>
            <w:vMerge/>
          </w:tcPr>
          <w:p w:rsidR="00D623C2" w:rsidRDefault="00D623C2" w:rsidP="00F4104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3" w:type="dxa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79" w:type="dxa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78" w:type="dxa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szCs w:val="24"/>
              </w:rPr>
              <w:t>0</w:t>
            </w:r>
          </w:p>
        </w:tc>
      </w:tr>
      <w:tr w:rsidR="00D623C2" w:rsidRPr="00941460" w:rsidTr="00F41042">
        <w:trPr>
          <w:trHeight w:val="562"/>
        </w:trPr>
        <w:tc>
          <w:tcPr>
            <w:tcW w:w="3085" w:type="dxa"/>
            <w:vAlign w:val="center"/>
          </w:tcPr>
          <w:p w:rsidR="00D623C2" w:rsidRPr="007F3099" w:rsidRDefault="00D623C2" w:rsidP="00F41042">
            <w:pPr>
              <w:jc w:val="center"/>
              <w:rPr>
                <w:rFonts w:cs="Times New Roman"/>
                <w:b/>
                <w:szCs w:val="24"/>
              </w:rPr>
            </w:pPr>
            <w:r w:rsidRPr="007F3099">
              <w:rPr>
                <w:rFonts w:cs="Times New Roman"/>
                <w:b/>
                <w:szCs w:val="24"/>
              </w:rPr>
              <w:t>Evaluation Policy</w:t>
            </w:r>
          </w:p>
        </w:tc>
        <w:tc>
          <w:tcPr>
            <w:tcW w:w="1559" w:type="dxa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szCs w:val="24"/>
              </w:rPr>
              <w:t>Mid-Term</w:t>
            </w:r>
          </w:p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(30 </w:t>
            </w:r>
            <w:r w:rsidRPr="00941460">
              <w:rPr>
                <w:rFonts w:cs="Times New Roman"/>
                <w:szCs w:val="24"/>
              </w:rPr>
              <w:t>Marks)</w:t>
            </w:r>
          </w:p>
        </w:tc>
        <w:tc>
          <w:tcPr>
            <w:tcW w:w="2212" w:type="dxa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szCs w:val="24"/>
              </w:rPr>
              <w:t>Class Assessment</w:t>
            </w:r>
          </w:p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(10 </w:t>
            </w:r>
            <w:r w:rsidRPr="00941460">
              <w:rPr>
                <w:rFonts w:cs="Times New Roman"/>
                <w:szCs w:val="24"/>
              </w:rPr>
              <w:t>Marks)</w:t>
            </w:r>
          </w:p>
        </w:tc>
        <w:tc>
          <w:tcPr>
            <w:tcW w:w="2720" w:type="dxa"/>
            <w:gridSpan w:val="3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szCs w:val="24"/>
              </w:rPr>
              <w:t>Final-Term</w:t>
            </w:r>
          </w:p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(60 </w:t>
            </w:r>
            <w:r w:rsidRPr="00941460">
              <w:rPr>
                <w:rFonts w:cs="Times New Roman"/>
                <w:szCs w:val="24"/>
              </w:rPr>
              <w:t>Marks)</w:t>
            </w:r>
          </w:p>
        </w:tc>
      </w:tr>
    </w:tbl>
    <w:p w:rsidR="00D623C2" w:rsidRDefault="00D623C2" w:rsidP="00D623C2">
      <w:pPr>
        <w:spacing w:after="0" w:line="240" w:lineRule="auto"/>
      </w:pPr>
    </w:p>
    <w:p w:rsidR="00D623C2" w:rsidRPr="005F7A16" w:rsidRDefault="00D623C2" w:rsidP="00D62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AB">
        <w:rPr>
          <w:rFonts w:ascii="Times New Roman" w:hAnsi="Times New Roman" w:cs="Times New Roman"/>
          <w:b/>
          <w:sz w:val="24"/>
          <w:szCs w:val="24"/>
        </w:rPr>
        <w:t>Course Objective</w:t>
      </w:r>
      <w:r w:rsidRPr="001F7C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0D21">
        <w:rPr>
          <w:rFonts w:ascii="Times New Roman" w:hAnsi="Times New Roman" w:cs="Times New Roman"/>
          <w:sz w:val="24"/>
          <w:szCs w:val="24"/>
        </w:rPr>
        <w:t>To explain human behavior in situational, social and cultural context</w:t>
      </w:r>
      <w:r w:rsidRPr="00350D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D58E2">
        <w:rPr>
          <w:rFonts w:ascii="Times New Roman" w:hAnsi="Times New Roman" w:cs="Times New Roman"/>
          <w:sz w:val="24"/>
          <w:szCs w:val="24"/>
        </w:rPr>
        <w:t>To</w:t>
      </w:r>
      <w:r w:rsidR="003D5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E2">
        <w:rPr>
          <w:rFonts w:ascii="Times New Roman" w:hAnsi="Times New Roman" w:cs="Times New Roman"/>
          <w:sz w:val="24"/>
          <w:szCs w:val="24"/>
        </w:rPr>
        <w:t>d</w:t>
      </w:r>
      <w:r w:rsidRPr="00350D21">
        <w:rPr>
          <w:rFonts w:ascii="Times New Roman" w:hAnsi="Times New Roman" w:cs="Times New Roman"/>
          <w:sz w:val="24"/>
          <w:szCs w:val="24"/>
        </w:rPr>
        <w:t>efine culture, ethics, morality and values</w:t>
      </w:r>
      <w:r w:rsidR="003D5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0D21">
        <w:rPr>
          <w:rFonts w:ascii="Times New Roman" w:hAnsi="Times New Roman" w:cs="Times New Roman"/>
          <w:sz w:val="24"/>
          <w:szCs w:val="24"/>
        </w:rPr>
        <w:t xml:space="preserve"> </w:t>
      </w:r>
      <w:r w:rsidR="003D58E2">
        <w:rPr>
          <w:rFonts w:ascii="Times New Roman" w:hAnsi="Times New Roman" w:cs="Times New Roman"/>
          <w:sz w:val="24"/>
          <w:szCs w:val="24"/>
        </w:rPr>
        <w:t xml:space="preserve">To </w:t>
      </w:r>
      <w:r w:rsidR="0088676C">
        <w:rPr>
          <w:rFonts w:ascii="Times New Roman" w:hAnsi="Times New Roman" w:cs="Times New Roman"/>
          <w:sz w:val="24"/>
          <w:szCs w:val="24"/>
        </w:rPr>
        <w:t xml:space="preserve">help </w:t>
      </w:r>
      <w:r w:rsidR="003D58E2">
        <w:rPr>
          <w:rFonts w:ascii="Times New Roman" w:hAnsi="Times New Roman" w:cs="Times New Roman"/>
          <w:sz w:val="24"/>
          <w:szCs w:val="24"/>
        </w:rPr>
        <w:t>develop an ability</w:t>
      </w:r>
      <w:r w:rsidRPr="00350D21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21">
        <w:rPr>
          <w:rFonts w:ascii="Times New Roman" w:hAnsi="Times New Roman" w:cs="Times New Roman"/>
          <w:sz w:val="24"/>
          <w:szCs w:val="24"/>
        </w:rPr>
        <w:t>think critically and evaluate theories, concepts and perspe</w:t>
      </w:r>
      <w:r w:rsidR="003D58E2">
        <w:rPr>
          <w:rFonts w:ascii="Times New Roman" w:hAnsi="Times New Roman" w:cs="Times New Roman"/>
          <w:sz w:val="24"/>
          <w:szCs w:val="24"/>
        </w:rPr>
        <w:t>ctives related to psychology,</w:t>
      </w:r>
      <w:r w:rsidRPr="00350D21">
        <w:rPr>
          <w:rFonts w:ascii="Times New Roman" w:hAnsi="Times New Roman" w:cs="Times New Roman"/>
          <w:sz w:val="24"/>
          <w:szCs w:val="24"/>
        </w:rPr>
        <w:t xml:space="preserve"> human behavior</w:t>
      </w:r>
      <w:r w:rsidR="003D58E2">
        <w:rPr>
          <w:rFonts w:ascii="Times New Roman" w:hAnsi="Times New Roman" w:cs="Times New Roman"/>
          <w:sz w:val="24"/>
          <w:szCs w:val="24"/>
        </w:rPr>
        <w:t>, and</w:t>
      </w:r>
      <w:r w:rsidRPr="00350D21">
        <w:rPr>
          <w:rFonts w:ascii="Times New Roman" w:hAnsi="Times New Roman" w:cs="Times New Roman"/>
          <w:sz w:val="24"/>
          <w:szCs w:val="24"/>
        </w:rPr>
        <w:t xml:space="preserve"> current societal advances related to career.</w:t>
      </w:r>
    </w:p>
    <w:p w:rsidR="00D623C2" w:rsidRPr="001F7C6E" w:rsidRDefault="00D623C2" w:rsidP="00D62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3C2" w:rsidRPr="00350D21" w:rsidRDefault="00D623C2" w:rsidP="00D6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</w:t>
      </w:r>
      <w:r w:rsidRPr="00004DAB">
        <w:rPr>
          <w:rFonts w:ascii="Times New Roman" w:hAnsi="Times New Roman" w:cs="Times New Roman"/>
          <w:b/>
          <w:sz w:val="24"/>
          <w:szCs w:val="24"/>
        </w:rPr>
        <w:t xml:space="preserve">utcomes (COs): </w:t>
      </w:r>
      <w:r w:rsidRPr="00350D21">
        <w:rPr>
          <w:rFonts w:ascii="Times New Roman" w:hAnsi="Times New Roman" w:cs="Times New Roman"/>
          <w:sz w:val="24"/>
          <w:szCs w:val="24"/>
        </w:rPr>
        <w:t>Upon successful completion of the course, student should be</w:t>
      </w:r>
      <w:r>
        <w:rPr>
          <w:rFonts w:ascii="Times New Roman" w:hAnsi="Times New Roman" w:cs="Times New Roman"/>
          <w:sz w:val="24"/>
          <w:szCs w:val="24"/>
        </w:rPr>
        <w:t xml:space="preserve"> able to:</w:t>
      </w:r>
    </w:p>
    <w:p w:rsidR="00D623C2" w:rsidRPr="00B2114F" w:rsidRDefault="00D623C2" w:rsidP="00D62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"/>
        <w:gridCol w:w="8910"/>
      </w:tblGrid>
      <w:tr w:rsidR="00D623C2" w:rsidTr="00F41042">
        <w:tc>
          <w:tcPr>
            <w:tcW w:w="730" w:type="dxa"/>
          </w:tcPr>
          <w:p w:rsidR="00D623C2" w:rsidRDefault="00D623C2" w:rsidP="00F4104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CO1.</w:t>
            </w:r>
          </w:p>
        </w:tc>
        <w:tc>
          <w:tcPr>
            <w:tcW w:w="8910" w:type="dxa"/>
          </w:tcPr>
          <w:p w:rsidR="00D623C2" w:rsidRPr="007E36AE" w:rsidRDefault="003D58E2" w:rsidP="003D58E2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Explain</w:t>
            </w:r>
            <w:r w:rsidR="00D623C2" w:rsidRPr="00350D21">
              <w:rPr>
                <w:rFonts w:cs="Times New Roman"/>
                <w:szCs w:val="24"/>
              </w:rPr>
              <w:t xml:space="preserve"> human experience and behavior in </w:t>
            </w:r>
            <w:r>
              <w:rPr>
                <w:rFonts w:cs="Times New Roman"/>
                <w:szCs w:val="24"/>
              </w:rPr>
              <w:t xml:space="preserve">a </w:t>
            </w:r>
            <w:r w:rsidR="00D623C2" w:rsidRPr="00350D21">
              <w:rPr>
                <w:rFonts w:cs="Times New Roman"/>
                <w:szCs w:val="24"/>
              </w:rPr>
              <w:t>social and cultural context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623C2" w:rsidTr="00F41042">
        <w:tc>
          <w:tcPr>
            <w:tcW w:w="730" w:type="dxa"/>
          </w:tcPr>
          <w:p w:rsidR="00D623C2" w:rsidRDefault="00D623C2" w:rsidP="00F4104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CO2.</w:t>
            </w:r>
          </w:p>
        </w:tc>
        <w:tc>
          <w:tcPr>
            <w:tcW w:w="8910" w:type="dxa"/>
          </w:tcPr>
          <w:p w:rsidR="00D623C2" w:rsidRDefault="003D58E2" w:rsidP="003D58E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Develop an appreciation for one’s</w:t>
            </w:r>
            <w:r w:rsidR="00D623C2" w:rsidRPr="00350D21">
              <w:rPr>
                <w:rFonts w:cs="Times New Roman"/>
                <w:szCs w:val="24"/>
              </w:rPr>
              <w:t xml:space="preserve"> own culture</w:t>
            </w:r>
            <w:r w:rsidR="00D623C2">
              <w:rPr>
                <w:rFonts w:cs="Times New Roman"/>
                <w:szCs w:val="24"/>
              </w:rPr>
              <w:t xml:space="preserve">, ethics and values as well </w:t>
            </w:r>
            <w:r w:rsidR="00D623C2" w:rsidRPr="00350D21">
              <w:rPr>
                <w:rFonts w:cs="Times New Roman"/>
                <w:szCs w:val="24"/>
              </w:rPr>
              <w:t>as th</w:t>
            </w:r>
            <w:r>
              <w:rPr>
                <w:rFonts w:cs="Times New Roman"/>
                <w:szCs w:val="24"/>
              </w:rPr>
              <w:t>at of others.</w:t>
            </w:r>
          </w:p>
        </w:tc>
      </w:tr>
      <w:tr w:rsidR="00D623C2" w:rsidTr="00F41042">
        <w:tc>
          <w:tcPr>
            <w:tcW w:w="730" w:type="dxa"/>
          </w:tcPr>
          <w:p w:rsidR="00D623C2" w:rsidRDefault="00D623C2" w:rsidP="00F4104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CO3.</w:t>
            </w:r>
          </w:p>
        </w:tc>
        <w:tc>
          <w:tcPr>
            <w:tcW w:w="8910" w:type="dxa"/>
          </w:tcPr>
          <w:p w:rsidR="00D623C2" w:rsidRDefault="003D58E2" w:rsidP="003D58E2"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Apply critical thinking</w:t>
            </w:r>
            <w:r w:rsidR="00D623C2" w:rsidRPr="00350D21">
              <w:rPr>
                <w:rFonts w:cs="Times New Roman"/>
                <w:szCs w:val="24"/>
              </w:rPr>
              <w:t xml:space="preserve"> and evaluate theories, concepts and                                                            perspectives related to </w:t>
            </w:r>
            <w:r w:rsidR="0088676C" w:rsidRPr="00350D21">
              <w:rPr>
                <w:rFonts w:cs="Times New Roman"/>
                <w:szCs w:val="24"/>
              </w:rPr>
              <w:t>psychology,</w:t>
            </w:r>
            <w:r w:rsidR="00D623C2" w:rsidRPr="00350D21">
              <w:rPr>
                <w:rFonts w:cs="Times New Roman"/>
                <w:szCs w:val="24"/>
              </w:rPr>
              <w:t xml:space="preserve"> human mind and human behavior</w:t>
            </w:r>
            <w:r w:rsidR="00751B31">
              <w:rPr>
                <w:rFonts w:cs="Times New Roman"/>
                <w:szCs w:val="24"/>
              </w:rPr>
              <w:t xml:space="preserve"> </w:t>
            </w:r>
            <w:r w:rsidR="00D623C2" w:rsidRPr="00350D21">
              <w:rPr>
                <w:rFonts w:cs="Times New Roman"/>
                <w:szCs w:val="24"/>
              </w:rPr>
              <w:t>as well as current societal advances related to career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623C2" w:rsidTr="00F41042">
        <w:tc>
          <w:tcPr>
            <w:tcW w:w="730" w:type="dxa"/>
          </w:tcPr>
          <w:p w:rsidR="00D623C2" w:rsidRDefault="00D623C2" w:rsidP="00F4104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CO4.</w:t>
            </w:r>
          </w:p>
        </w:tc>
        <w:tc>
          <w:tcPr>
            <w:tcW w:w="8910" w:type="dxa"/>
          </w:tcPr>
          <w:p w:rsidR="00D623C2" w:rsidRPr="0067442A" w:rsidRDefault="003D58E2" w:rsidP="003D58E2"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Explicate</w:t>
            </w:r>
            <w:r w:rsidR="00D623C2" w:rsidRPr="00350D21">
              <w:rPr>
                <w:rFonts w:cs="Times New Roman"/>
                <w:szCs w:val="24"/>
              </w:rPr>
              <w:t xml:space="preserve"> the importance of self-awareness, self-refle</w:t>
            </w:r>
            <w:r>
              <w:rPr>
                <w:rFonts w:cs="Times New Roman"/>
                <w:szCs w:val="24"/>
              </w:rPr>
              <w:t xml:space="preserve">ction </w:t>
            </w:r>
            <w:r w:rsidR="00D623C2" w:rsidRPr="00350D21">
              <w:rPr>
                <w:rFonts w:cs="Times New Roman"/>
                <w:szCs w:val="24"/>
              </w:rPr>
              <w:t>and self-regulation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D623C2" w:rsidRDefault="00D623C2" w:rsidP="00D623C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623C2" w:rsidRPr="00AB33A6" w:rsidRDefault="00D623C2" w:rsidP="00D623C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B33A6">
        <w:rPr>
          <w:rFonts w:ascii="Times New Roman" w:hAnsi="Times New Roman" w:cs="Times New Roman"/>
          <w:b/>
          <w:sz w:val="24"/>
          <w:szCs w:val="24"/>
        </w:rPr>
        <w:t>Details of the Syllabus:</w:t>
      </w:r>
    </w:p>
    <w:tbl>
      <w:tblPr>
        <w:tblStyle w:val="TableGrid"/>
        <w:tblW w:w="0" w:type="auto"/>
        <w:tblLook w:val="04A0"/>
      </w:tblPr>
      <w:tblGrid>
        <w:gridCol w:w="1381"/>
        <w:gridCol w:w="8195"/>
      </w:tblGrid>
      <w:tr w:rsidR="00D623C2" w:rsidRPr="00941460" w:rsidTr="00F41042">
        <w:trPr>
          <w:trHeight w:val="1656"/>
        </w:trPr>
        <w:tc>
          <w:tcPr>
            <w:tcW w:w="1384" w:type="dxa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41460">
              <w:rPr>
                <w:rFonts w:cs="Times New Roman"/>
                <w:b/>
                <w:bCs/>
                <w:szCs w:val="24"/>
              </w:rPr>
              <w:t>Unit I</w:t>
            </w:r>
          </w:p>
          <w:p w:rsidR="00D623C2" w:rsidRPr="00941460" w:rsidRDefault="00D623C2" w:rsidP="00F4104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222" w:type="dxa"/>
          </w:tcPr>
          <w:p w:rsidR="00D623C2" w:rsidRPr="00350D21" w:rsidRDefault="00D623C2" w:rsidP="00F41042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Introduction t</w:t>
            </w:r>
            <w:r w:rsidR="00DE61E3">
              <w:rPr>
                <w:rFonts w:cs="Times New Roman"/>
                <w:b/>
                <w:szCs w:val="24"/>
              </w:rPr>
              <w:t>o Ethics</w:t>
            </w:r>
          </w:p>
          <w:p w:rsidR="00D623C2" w:rsidRDefault="0088676C" w:rsidP="00DE61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Definition of E</w:t>
            </w:r>
            <w:r w:rsidRPr="00350D21">
              <w:rPr>
                <w:rFonts w:cs="Times New Roman"/>
                <w:szCs w:val="24"/>
              </w:rPr>
              <w:t>thics</w:t>
            </w:r>
            <w:r>
              <w:rPr>
                <w:rFonts w:cs="Times New Roman"/>
                <w:szCs w:val="24"/>
              </w:rPr>
              <w:t>;</w:t>
            </w:r>
            <w:r w:rsidR="00DE61E3">
              <w:rPr>
                <w:rFonts w:cs="Times New Roman"/>
                <w:szCs w:val="24"/>
              </w:rPr>
              <w:t xml:space="preserve"> Approaches to Ethics: Psychological, Philosophical, S</w:t>
            </w:r>
            <w:r w:rsidR="00D623C2" w:rsidRPr="00350D21">
              <w:rPr>
                <w:rFonts w:cs="Times New Roman"/>
                <w:szCs w:val="24"/>
              </w:rPr>
              <w:t xml:space="preserve">ocial; </w:t>
            </w:r>
            <w:r w:rsidR="00DE61E3" w:rsidRPr="00350D21">
              <w:rPr>
                <w:rFonts w:cs="Times New Roman"/>
                <w:szCs w:val="24"/>
              </w:rPr>
              <w:t>Kohlberg</w:t>
            </w:r>
            <w:r w:rsidR="00DE61E3">
              <w:rPr>
                <w:rFonts w:cs="Times New Roman"/>
                <w:szCs w:val="24"/>
              </w:rPr>
              <w:t>’s View: Morality and Ideology, Culture and Morality, Morality in everyday context;</w:t>
            </w:r>
            <w:r w:rsidR="00D623C2" w:rsidRPr="00350D21">
              <w:rPr>
                <w:rFonts w:cs="Times New Roman"/>
                <w:szCs w:val="24"/>
              </w:rPr>
              <w:t xml:space="preserve"> Ethical concerns:</w:t>
            </w:r>
            <w:r w:rsidR="00DE61E3">
              <w:rPr>
                <w:rFonts w:cs="Times New Roman"/>
                <w:szCs w:val="24"/>
              </w:rPr>
              <w:t xml:space="preserve"> work ethics and work values; Business ethics; Human Values in O</w:t>
            </w:r>
            <w:r w:rsidR="00D623C2" w:rsidRPr="00350D21">
              <w:rPr>
                <w:rFonts w:cs="Times New Roman"/>
                <w:szCs w:val="24"/>
              </w:rPr>
              <w:t>rganizations</w:t>
            </w:r>
          </w:p>
          <w:p w:rsidR="00350D02" w:rsidRPr="00941460" w:rsidRDefault="00350D02" w:rsidP="00DE61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val="en-GB"/>
              </w:rPr>
            </w:pPr>
          </w:p>
        </w:tc>
      </w:tr>
      <w:tr w:rsidR="00D623C2" w:rsidRPr="00941460" w:rsidTr="00F41042">
        <w:tc>
          <w:tcPr>
            <w:tcW w:w="1384" w:type="dxa"/>
            <w:vAlign w:val="center"/>
          </w:tcPr>
          <w:p w:rsidR="00D623C2" w:rsidRPr="00941460" w:rsidRDefault="00D623C2" w:rsidP="00F41042">
            <w:pPr>
              <w:jc w:val="center"/>
              <w:rPr>
                <w:rFonts w:cs="Times New Roman"/>
                <w:szCs w:val="24"/>
              </w:rPr>
            </w:pPr>
            <w:r w:rsidRPr="00941460">
              <w:rPr>
                <w:rFonts w:cs="Times New Roman"/>
                <w:b/>
                <w:bCs/>
                <w:szCs w:val="24"/>
              </w:rPr>
              <w:t>Unit II</w:t>
            </w:r>
          </w:p>
        </w:tc>
        <w:tc>
          <w:tcPr>
            <w:tcW w:w="8222" w:type="dxa"/>
          </w:tcPr>
          <w:p w:rsidR="00DE61E3" w:rsidRDefault="00D623C2" w:rsidP="00DE61E3">
            <w:pPr>
              <w:jc w:val="both"/>
              <w:rPr>
                <w:rFonts w:cs="Times New Roman"/>
                <w:b/>
                <w:szCs w:val="24"/>
              </w:rPr>
            </w:pPr>
            <w:r w:rsidRPr="00350D21">
              <w:rPr>
                <w:rFonts w:cs="Times New Roman"/>
                <w:b/>
                <w:szCs w:val="24"/>
              </w:rPr>
              <w:t>Self-Awarene</w:t>
            </w:r>
            <w:r w:rsidR="00DE61E3">
              <w:rPr>
                <w:rFonts w:cs="Times New Roman"/>
                <w:b/>
                <w:szCs w:val="24"/>
              </w:rPr>
              <w:t>ss</w:t>
            </w:r>
          </w:p>
          <w:p w:rsidR="00D623C2" w:rsidRPr="00DE61E3" w:rsidRDefault="00DE61E3" w:rsidP="00DE61E3">
            <w:pPr>
              <w:jc w:val="both"/>
              <w:rPr>
                <w:rFonts w:cs="Times New Roman"/>
                <w:b/>
                <w:szCs w:val="24"/>
              </w:rPr>
            </w:pPr>
            <w:r w:rsidRPr="00DE61E3">
              <w:rPr>
                <w:rFonts w:cs="Times New Roman"/>
                <w:szCs w:val="24"/>
              </w:rPr>
              <w:t>Concept of Self</w:t>
            </w:r>
            <w:r w:rsidR="00D623C2" w:rsidRPr="00DE61E3">
              <w:rPr>
                <w:rFonts w:cs="Times New Roman"/>
                <w:szCs w:val="24"/>
              </w:rPr>
              <w:t>:</w:t>
            </w:r>
            <w:r w:rsidR="00066A3F">
              <w:rPr>
                <w:rFonts w:cs="Times New Roman"/>
                <w:szCs w:val="24"/>
              </w:rPr>
              <w:t xml:space="preserve"> </w:t>
            </w:r>
            <w:proofErr w:type="spellStart"/>
            <w:r w:rsidR="00066A3F">
              <w:rPr>
                <w:rFonts w:cs="Times New Roman"/>
                <w:szCs w:val="24"/>
              </w:rPr>
              <w:t>Johari</w:t>
            </w:r>
            <w:proofErr w:type="spellEnd"/>
            <w:r w:rsidR="00066A3F">
              <w:rPr>
                <w:rFonts w:cs="Times New Roman"/>
                <w:szCs w:val="24"/>
              </w:rPr>
              <w:t xml:space="preserve"> W</w:t>
            </w:r>
            <w:r w:rsidR="00D623C2">
              <w:rPr>
                <w:rFonts w:cs="Times New Roman"/>
                <w:szCs w:val="24"/>
              </w:rPr>
              <w:t xml:space="preserve">indow; </w:t>
            </w:r>
            <w:r w:rsidR="00D623C2" w:rsidRPr="00350D21">
              <w:rPr>
                <w:rFonts w:cs="Times New Roman"/>
                <w:szCs w:val="24"/>
              </w:rPr>
              <w:t>Ch</w:t>
            </w:r>
            <w:r>
              <w:rPr>
                <w:rFonts w:cs="Times New Roman"/>
                <w:szCs w:val="24"/>
              </w:rPr>
              <w:t>aracter strengths and virtues; Emotional Intelligence; Social Intelligence; Positive Cognitive States and P</w:t>
            </w:r>
            <w:r w:rsidR="00D623C2" w:rsidRPr="00350D21">
              <w:rPr>
                <w:rFonts w:cs="Times New Roman"/>
                <w:szCs w:val="24"/>
              </w:rPr>
              <w:t>rocess</w:t>
            </w:r>
            <w:r>
              <w:rPr>
                <w:rFonts w:cs="Times New Roman"/>
                <w:szCs w:val="24"/>
              </w:rPr>
              <w:t>es: S</w:t>
            </w:r>
            <w:r w:rsidR="00D623C2" w:rsidRPr="00350D21">
              <w:rPr>
                <w:rFonts w:cs="Times New Roman"/>
                <w:szCs w:val="24"/>
              </w:rPr>
              <w:t>elf</w:t>
            </w:r>
            <w:r>
              <w:rPr>
                <w:rFonts w:cs="Times New Roman"/>
                <w:szCs w:val="24"/>
              </w:rPr>
              <w:t xml:space="preserve"> Efficacy; Transactional A</w:t>
            </w:r>
            <w:r w:rsidR="00D623C2" w:rsidRPr="00350D21">
              <w:rPr>
                <w:rFonts w:cs="Times New Roman"/>
                <w:szCs w:val="24"/>
              </w:rPr>
              <w:t>nalysis</w:t>
            </w:r>
          </w:p>
        </w:tc>
      </w:tr>
    </w:tbl>
    <w:p w:rsidR="00D623C2" w:rsidRDefault="00D623C2" w:rsidP="00D623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3C2" w:rsidRPr="006C4653" w:rsidRDefault="00D623C2" w:rsidP="00D623C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653">
        <w:rPr>
          <w:rFonts w:ascii="Times New Roman" w:hAnsi="Times New Roman" w:cs="Times New Roman"/>
          <w:b/>
          <w:sz w:val="20"/>
          <w:szCs w:val="20"/>
        </w:rPr>
        <w:t>Books Recommended:</w:t>
      </w:r>
    </w:p>
    <w:tbl>
      <w:tblPr>
        <w:tblStyle w:val="TableGrid"/>
        <w:tblW w:w="0" w:type="auto"/>
        <w:tblLook w:val="04A0"/>
      </w:tblPr>
      <w:tblGrid>
        <w:gridCol w:w="1524"/>
        <w:gridCol w:w="566"/>
        <w:gridCol w:w="7437"/>
      </w:tblGrid>
      <w:tr w:rsidR="00D623C2" w:rsidRPr="006C4653" w:rsidTr="00F41042">
        <w:tc>
          <w:tcPr>
            <w:tcW w:w="152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D623C2" w:rsidRPr="006C4653" w:rsidRDefault="00D623C2" w:rsidP="00F410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4653">
              <w:rPr>
                <w:rFonts w:cs="Times New Roman"/>
                <w:b/>
                <w:sz w:val="20"/>
                <w:szCs w:val="20"/>
              </w:rPr>
              <w:t>Text Books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D623C2" w:rsidRPr="006C4653" w:rsidRDefault="00D623C2" w:rsidP="00F41042">
            <w:pPr>
              <w:ind w:left="340" w:hanging="3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4653">
              <w:rPr>
                <w:rStyle w:val="MSGENFONTSTYLENAMETEMPLATEROLENUMBERMSGENFONTSTYLENAMEBYROLETEXT5"/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D623C2" w:rsidRPr="006C4653" w:rsidRDefault="00DE61E3" w:rsidP="00F4104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Hall, Calvin S., </w:t>
            </w:r>
            <w:proofErr w:type="spellStart"/>
            <w:r>
              <w:rPr>
                <w:rFonts w:cs="Times New Roman"/>
                <w:sz w:val="20"/>
                <w:szCs w:val="20"/>
              </w:rPr>
              <w:t>Lindzey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Times New Roman"/>
                <w:sz w:val="20"/>
                <w:szCs w:val="20"/>
              </w:rPr>
              <w:t>G</w:t>
            </w:r>
            <w:r w:rsidR="00D623C2" w:rsidRPr="006C4653">
              <w:rPr>
                <w:rFonts w:cs="Times New Roman"/>
                <w:sz w:val="20"/>
                <w:szCs w:val="20"/>
              </w:rPr>
              <w:t>ardner.,</w:t>
            </w:r>
            <w:proofErr w:type="gramEnd"/>
            <w:r w:rsidR="00066A3F">
              <w:rPr>
                <w:rFonts w:cs="Times New Roman"/>
                <w:sz w:val="20"/>
                <w:szCs w:val="20"/>
              </w:rPr>
              <w:t xml:space="preserve"> </w:t>
            </w:r>
            <w:r w:rsidR="00D623C2" w:rsidRPr="006C4653">
              <w:rPr>
                <w:rFonts w:cs="Times New Roman"/>
                <w:sz w:val="20"/>
                <w:szCs w:val="20"/>
              </w:rPr>
              <w:t>&amp;</w:t>
            </w:r>
            <w:r w:rsidR="0088676C">
              <w:rPr>
                <w:rFonts w:cs="Times New Roman"/>
                <w:sz w:val="20"/>
                <w:szCs w:val="20"/>
              </w:rPr>
              <w:t xml:space="preserve"> </w:t>
            </w:r>
            <w:r w:rsidR="00D623C2" w:rsidRPr="006C4653">
              <w:rPr>
                <w:rFonts w:cs="Times New Roman"/>
                <w:sz w:val="20"/>
                <w:szCs w:val="20"/>
              </w:rPr>
              <w:t>Cam</w:t>
            </w:r>
            <w:r>
              <w:rPr>
                <w:rFonts w:cs="Times New Roman"/>
                <w:sz w:val="20"/>
                <w:szCs w:val="20"/>
              </w:rPr>
              <w:t>pbell, John P</w:t>
            </w:r>
            <w:r w:rsidR="00D623C2" w:rsidRPr="006C4653">
              <w:rPr>
                <w:rFonts w:cs="Times New Roman"/>
                <w:sz w:val="20"/>
                <w:szCs w:val="20"/>
              </w:rPr>
              <w:t>. “</w:t>
            </w:r>
            <w:r w:rsidR="00D623C2" w:rsidRPr="006C4653">
              <w:rPr>
                <w:rFonts w:cs="Times New Roman"/>
                <w:i/>
                <w:sz w:val="20"/>
                <w:szCs w:val="20"/>
              </w:rPr>
              <w:t>Theories of Personality”.</w:t>
            </w:r>
            <w:r w:rsidR="00D623C2" w:rsidRPr="006C4653">
              <w:rPr>
                <w:rFonts w:cs="Times New Roman"/>
                <w:sz w:val="20"/>
                <w:szCs w:val="20"/>
              </w:rPr>
              <w:t xml:space="preserve"> USA: Hamilton Printing Company.</w:t>
            </w:r>
          </w:p>
        </w:tc>
      </w:tr>
      <w:tr w:rsidR="00D623C2" w:rsidRPr="006C4653" w:rsidTr="00F41042">
        <w:tc>
          <w:tcPr>
            <w:tcW w:w="1524" w:type="dxa"/>
            <w:vMerge/>
          </w:tcPr>
          <w:p w:rsidR="00D623C2" w:rsidRPr="006C4653" w:rsidRDefault="00D623C2" w:rsidP="00F4104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</w:tcBorders>
          </w:tcPr>
          <w:p w:rsidR="00D623C2" w:rsidRPr="006C4653" w:rsidRDefault="00D623C2" w:rsidP="00F41042">
            <w:pPr>
              <w:jc w:val="both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Manuel E.</w:t>
            </w:r>
            <w:r w:rsidR="00476A28">
              <w:rPr>
                <w:rFonts w:cs="Times New Roman"/>
                <w:sz w:val="20"/>
                <w:szCs w:val="20"/>
              </w:rPr>
              <w:t xml:space="preserve"> G. </w:t>
            </w:r>
            <w:r w:rsidRPr="006C4653">
              <w:rPr>
                <w:rFonts w:cs="Times New Roman"/>
                <w:sz w:val="20"/>
                <w:szCs w:val="20"/>
              </w:rPr>
              <w:t xml:space="preserve">Velasquez, </w:t>
            </w:r>
            <w:r w:rsidR="0088676C" w:rsidRPr="006C4653">
              <w:rPr>
                <w:rFonts w:cs="Times New Roman"/>
                <w:sz w:val="20"/>
                <w:szCs w:val="20"/>
              </w:rPr>
              <w:t>“Business</w:t>
            </w:r>
            <w:r w:rsidR="00476A28">
              <w:rPr>
                <w:rFonts w:cs="Times New Roman"/>
                <w:i/>
                <w:sz w:val="20"/>
                <w:szCs w:val="20"/>
              </w:rPr>
              <w:t xml:space="preserve"> Ethics: </w:t>
            </w:r>
            <w:r w:rsidRPr="006C4653">
              <w:rPr>
                <w:rFonts w:cs="Times New Roman"/>
                <w:i/>
                <w:sz w:val="20"/>
                <w:szCs w:val="20"/>
              </w:rPr>
              <w:t xml:space="preserve"> Concepts &amp; Cases</w:t>
            </w:r>
            <w:r w:rsidR="0088676C" w:rsidRPr="006C4653">
              <w:rPr>
                <w:rFonts w:cs="Times New Roman"/>
                <w:sz w:val="20"/>
                <w:szCs w:val="20"/>
              </w:rPr>
              <w:t>”,</w:t>
            </w:r>
            <w:r w:rsidRPr="006C4653">
              <w:rPr>
                <w:rFonts w:cs="Times New Roman"/>
                <w:sz w:val="20"/>
                <w:szCs w:val="20"/>
              </w:rPr>
              <w:t xml:space="preserve"> </w:t>
            </w:r>
            <w:r w:rsidR="0088676C" w:rsidRPr="006C4653">
              <w:rPr>
                <w:rFonts w:cs="Times New Roman"/>
                <w:sz w:val="20"/>
                <w:szCs w:val="20"/>
              </w:rPr>
              <w:t>6</w:t>
            </w:r>
            <w:r w:rsidR="0088676C" w:rsidRPr="006C465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88676C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88676C" w:rsidRPr="006C4653">
              <w:rPr>
                <w:rFonts w:cs="Times New Roman"/>
                <w:sz w:val="20"/>
                <w:szCs w:val="20"/>
              </w:rPr>
              <w:t>Edn</w:t>
            </w:r>
            <w:proofErr w:type="spellEnd"/>
            <w:r w:rsidR="0088676C" w:rsidRPr="006C4653">
              <w:rPr>
                <w:rFonts w:cs="Times New Roman"/>
                <w:sz w:val="20"/>
                <w:szCs w:val="20"/>
              </w:rPr>
              <w:t>.</w:t>
            </w:r>
            <w:r w:rsidRPr="006C4653">
              <w:rPr>
                <w:rFonts w:cs="Times New Roman"/>
                <w:sz w:val="20"/>
                <w:szCs w:val="20"/>
              </w:rPr>
              <w:t xml:space="preserve"> Prentice Hall of India.</w:t>
            </w:r>
          </w:p>
        </w:tc>
      </w:tr>
      <w:tr w:rsidR="00D623C2" w:rsidRPr="006C4653" w:rsidTr="00F41042">
        <w:tc>
          <w:tcPr>
            <w:tcW w:w="1524" w:type="dxa"/>
            <w:vMerge/>
          </w:tcPr>
          <w:p w:rsidR="00D623C2" w:rsidRPr="006C4653" w:rsidRDefault="00D623C2" w:rsidP="00F4104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</w:tcBorders>
          </w:tcPr>
          <w:p w:rsidR="00D623C2" w:rsidRPr="006C4653" w:rsidRDefault="00D623C2" w:rsidP="00F41042">
            <w:pPr>
              <w:jc w:val="both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David. J.</w:t>
            </w:r>
            <w:r w:rsidR="008867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4653">
              <w:rPr>
                <w:rFonts w:cs="Times New Roman"/>
                <w:sz w:val="20"/>
                <w:szCs w:val="20"/>
              </w:rPr>
              <w:t>Fritzche</w:t>
            </w:r>
            <w:proofErr w:type="spellEnd"/>
            <w:r w:rsidRPr="006C4653">
              <w:rPr>
                <w:rFonts w:cs="Times New Roman"/>
                <w:sz w:val="20"/>
                <w:szCs w:val="20"/>
              </w:rPr>
              <w:t>, “</w:t>
            </w:r>
            <w:r w:rsidRPr="006C4653">
              <w:rPr>
                <w:rFonts w:cs="Times New Roman"/>
                <w:i/>
                <w:sz w:val="20"/>
                <w:szCs w:val="20"/>
              </w:rPr>
              <w:t>Business Ethics</w:t>
            </w:r>
            <w:r w:rsidRPr="006C4653">
              <w:rPr>
                <w:rFonts w:cs="Times New Roman"/>
                <w:sz w:val="20"/>
                <w:szCs w:val="20"/>
              </w:rPr>
              <w:t>”</w:t>
            </w:r>
            <w:r w:rsidRPr="006C4653">
              <w:rPr>
                <w:rFonts w:cs="Times New Roman"/>
                <w:color w:val="777777"/>
                <w:sz w:val="20"/>
                <w:szCs w:val="20"/>
                <w:shd w:val="clear" w:color="auto" w:fill="FFFFFF"/>
              </w:rPr>
              <w:t>.</w:t>
            </w:r>
            <w:r w:rsidR="0088676C">
              <w:rPr>
                <w:rFonts w:cs="Times New Roman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  <w:r w:rsidRPr="006C4653">
              <w:rPr>
                <w:rFonts w:cs="Times New Roman"/>
                <w:sz w:val="20"/>
                <w:szCs w:val="20"/>
              </w:rPr>
              <w:t>McGraw-Hill/Irwin</w:t>
            </w:r>
          </w:p>
        </w:tc>
      </w:tr>
      <w:tr w:rsidR="00D623C2" w:rsidRPr="006C4653" w:rsidTr="00350D02">
        <w:trPr>
          <w:trHeight w:val="292"/>
        </w:trPr>
        <w:tc>
          <w:tcPr>
            <w:tcW w:w="1524" w:type="dxa"/>
            <w:vMerge/>
          </w:tcPr>
          <w:p w:rsidR="00D623C2" w:rsidRPr="006C4653" w:rsidRDefault="00D623C2" w:rsidP="00F4104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623C2" w:rsidRPr="006C4653" w:rsidRDefault="00D623C2" w:rsidP="00F41042">
            <w:pPr>
              <w:tabs>
                <w:tab w:val="left" w:pos="567"/>
                <w:tab w:val="left" w:pos="993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William H. Shaw, “</w:t>
            </w:r>
            <w:r w:rsidRPr="006C4653">
              <w:rPr>
                <w:rFonts w:cs="Times New Roman"/>
                <w:i/>
                <w:sz w:val="20"/>
                <w:szCs w:val="20"/>
              </w:rPr>
              <w:t>Business Ethics</w:t>
            </w:r>
            <w:r w:rsidRPr="006C4653">
              <w:rPr>
                <w:rFonts w:cs="Times New Roman"/>
                <w:sz w:val="20"/>
                <w:szCs w:val="20"/>
              </w:rPr>
              <w:t>”, Thompson,</w:t>
            </w:r>
          </w:p>
          <w:p w:rsidR="00D623C2" w:rsidRPr="006C4653" w:rsidRDefault="00D623C2" w:rsidP="00F41042">
            <w:pPr>
              <w:tabs>
                <w:tab w:val="left" w:pos="567"/>
                <w:tab w:val="left" w:pos="993"/>
              </w:tabs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D623C2" w:rsidRPr="006C4653" w:rsidTr="00F41042">
        <w:tc>
          <w:tcPr>
            <w:tcW w:w="1524" w:type="dxa"/>
            <w:vMerge w:val="restart"/>
            <w:vAlign w:val="center"/>
          </w:tcPr>
          <w:p w:rsidR="00D623C2" w:rsidRPr="006C4653" w:rsidRDefault="00D623C2" w:rsidP="00F410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4653">
              <w:rPr>
                <w:rFonts w:cs="Times New Roman"/>
                <w:b/>
                <w:sz w:val="20"/>
                <w:szCs w:val="20"/>
              </w:rPr>
              <w:t>Reference Books</w:t>
            </w:r>
          </w:p>
        </w:tc>
        <w:tc>
          <w:tcPr>
            <w:tcW w:w="566" w:type="dxa"/>
            <w:tcBorders>
              <w:bottom w:val="nil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7437" w:type="dxa"/>
            <w:tcBorders>
              <w:left w:val="nil"/>
              <w:bottom w:val="nil"/>
            </w:tcBorders>
          </w:tcPr>
          <w:p w:rsidR="00D623C2" w:rsidRPr="006C4653" w:rsidRDefault="00D623C2" w:rsidP="00476A28">
            <w:pPr>
              <w:jc w:val="both"/>
              <w:rPr>
                <w:rStyle w:val="MSGENFONTSTYLENAMETEMPLATEROLENUMBERMSGENFONTSTYLENAMEBYROLETEXT5"/>
                <w:rFonts w:cs="Times New Roman"/>
                <w:b w:val="0"/>
                <w:bCs w:val="0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Carr, Alan. “</w:t>
            </w:r>
            <w:r w:rsidRPr="006C4653">
              <w:rPr>
                <w:rFonts w:cs="Times New Roman"/>
                <w:i/>
                <w:sz w:val="20"/>
                <w:szCs w:val="20"/>
              </w:rPr>
              <w:t xml:space="preserve">Positive Psychology: The Science of happiness and human strengths”. </w:t>
            </w:r>
            <w:r w:rsidR="0088676C" w:rsidRPr="006C4653">
              <w:rPr>
                <w:rFonts w:cs="Times New Roman"/>
                <w:sz w:val="20"/>
                <w:szCs w:val="20"/>
              </w:rPr>
              <w:t>New York</w:t>
            </w:r>
            <w:r w:rsidRPr="006C4653">
              <w:rPr>
                <w:rFonts w:cs="Times New Roman"/>
                <w:sz w:val="20"/>
                <w:szCs w:val="20"/>
              </w:rPr>
              <w:t>, Brunner-</w:t>
            </w:r>
            <w:proofErr w:type="spellStart"/>
            <w:r w:rsidR="00476A28">
              <w:rPr>
                <w:rFonts w:cs="Times New Roman"/>
                <w:sz w:val="20"/>
                <w:szCs w:val="20"/>
              </w:rPr>
              <w:t>Routledge</w:t>
            </w:r>
            <w:proofErr w:type="spellEnd"/>
            <w:r w:rsidR="00476A28">
              <w:rPr>
                <w:rFonts w:cs="Times New Roman"/>
                <w:sz w:val="20"/>
                <w:szCs w:val="20"/>
              </w:rPr>
              <w:t>, 2</w:t>
            </w:r>
            <w:r w:rsidR="00476A28" w:rsidRPr="00476A28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 w:rsidR="00476A28">
              <w:rPr>
                <w:rFonts w:cs="Times New Roman"/>
                <w:sz w:val="20"/>
                <w:szCs w:val="20"/>
              </w:rPr>
              <w:t xml:space="preserve"> Edition, 2011.</w:t>
            </w:r>
          </w:p>
        </w:tc>
      </w:tr>
      <w:tr w:rsidR="00D623C2" w:rsidRPr="006C4653" w:rsidTr="00F41042">
        <w:tc>
          <w:tcPr>
            <w:tcW w:w="1524" w:type="dxa"/>
            <w:vMerge/>
          </w:tcPr>
          <w:p w:rsidR="00D623C2" w:rsidRPr="006C4653" w:rsidRDefault="00D623C2" w:rsidP="00F4104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</w:tcBorders>
          </w:tcPr>
          <w:p w:rsidR="00D623C2" w:rsidRPr="006C4653" w:rsidRDefault="00D623C2" w:rsidP="00F41042">
            <w:pPr>
              <w:jc w:val="both"/>
              <w:rPr>
                <w:rStyle w:val="MSGENFONTSTYLENAMETEMPLATEROLENUMBERMSGENFONTSTYLENAMEBYROLETEXT5"/>
                <w:rFonts w:cs="Times New Roman"/>
                <w:b w:val="0"/>
                <w:bCs w:val="0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Leary, Mark R. “</w:t>
            </w:r>
            <w:r w:rsidR="00476A28">
              <w:rPr>
                <w:rFonts w:cs="Times New Roman"/>
                <w:i/>
                <w:sz w:val="20"/>
                <w:szCs w:val="20"/>
              </w:rPr>
              <w:t>The C</w:t>
            </w:r>
            <w:r w:rsidRPr="006C4653">
              <w:rPr>
                <w:rFonts w:cs="Times New Roman"/>
                <w:i/>
                <w:sz w:val="20"/>
                <w:szCs w:val="20"/>
              </w:rPr>
              <w:t xml:space="preserve">urse of </w:t>
            </w:r>
            <w:r w:rsidR="00476A28">
              <w:rPr>
                <w:rFonts w:cs="Times New Roman"/>
                <w:i/>
                <w:sz w:val="20"/>
                <w:szCs w:val="20"/>
              </w:rPr>
              <w:t>the Self: Self-Awareness, Egotism and the Quality of Human L</w:t>
            </w:r>
            <w:r w:rsidRPr="006C4653">
              <w:rPr>
                <w:rFonts w:cs="Times New Roman"/>
                <w:i/>
                <w:sz w:val="20"/>
                <w:szCs w:val="20"/>
              </w:rPr>
              <w:t xml:space="preserve">ife”. </w:t>
            </w:r>
            <w:r w:rsidR="0088676C" w:rsidRPr="006C4653">
              <w:rPr>
                <w:rFonts w:cs="Times New Roman"/>
                <w:sz w:val="20"/>
                <w:szCs w:val="20"/>
              </w:rPr>
              <w:t>New York</w:t>
            </w:r>
            <w:r w:rsidRPr="006C4653">
              <w:rPr>
                <w:rFonts w:cs="Times New Roman"/>
                <w:sz w:val="20"/>
                <w:szCs w:val="20"/>
              </w:rPr>
              <w:t>, Oxford University Press.</w:t>
            </w:r>
          </w:p>
        </w:tc>
      </w:tr>
      <w:tr w:rsidR="00D623C2" w:rsidRPr="006C4653" w:rsidTr="00F41042">
        <w:tc>
          <w:tcPr>
            <w:tcW w:w="1524" w:type="dxa"/>
            <w:vMerge/>
          </w:tcPr>
          <w:p w:rsidR="00D623C2" w:rsidRPr="006C4653" w:rsidRDefault="00D623C2" w:rsidP="00F4104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</w:tcBorders>
          </w:tcPr>
          <w:p w:rsidR="00D623C2" w:rsidRPr="006C4653" w:rsidRDefault="00D623C2" w:rsidP="00F41042">
            <w:pPr>
              <w:jc w:val="both"/>
              <w:rPr>
                <w:rStyle w:val="MSGENFONTSTYLENAMETEMPLATEROLENUMBERMSGENFONTSTYLENAMEBYROLETEXT5"/>
                <w:rFonts w:cs="Times New Roman"/>
                <w:b w:val="0"/>
                <w:bCs w:val="0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 xml:space="preserve">Louis P. </w:t>
            </w:r>
            <w:proofErr w:type="spellStart"/>
            <w:r w:rsidRPr="006C4653">
              <w:rPr>
                <w:rFonts w:cs="Times New Roman"/>
                <w:sz w:val="20"/>
                <w:szCs w:val="20"/>
              </w:rPr>
              <w:t>Pojman</w:t>
            </w:r>
            <w:proofErr w:type="spellEnd"/>
            <w:r w:rsidR="00476A28">
              <w:rPr>
                <w:rFonts w:cs="Times New Roman"/>
                <w:sz w:val="20"/>
                <w:szCs w:val="20"/>
              </w:rPr>
              <w:t xml:space="preserve"> and Lewis Vaughn</w:t>
            </w:r>
            <w:r w:rsidRPr="006C4653">
              <w:rPr>
                <w:rFonts w:cs="Times New Roman"/>
                <w:sz w:val="20"/>
                <w:szCs w:val="20"/>
              </w:rPr>
              <w:t>. “</w:t>
            </w:r>
            <w:r w:rsidRPr="006C4653">
              <w:rPr>
                <w:rFonts w:cs="Times New Roman"/>
                <w:i/>
                <w:sz w:val="20"/>
                <w:szCs w:val="20"/>
              </w:rPr>
              <w:t xml:space="preserve">The moral life: An introductory reader in ethics and literature”. </w:t>
            </w:r>
            <w:r w:rsidR="0088676C" w:rsidRPr="006C4653">
              <w:rPr>
                <w:rFonts w:cs="Times New Roman"/>
                <w:sz w:val="20"/>
                <w:szCs w:val="20"/>
              </w:rPr>
              <w:t>New York</w:t>
            </w:r>
            <w:r w:rsidRPr="006C4653">
              <w:rPr>
                <w:rFonts w:cs="Times New Roman"/>
                <w:sz w:val="20"/>
                <w:szCs w:val="20"/>
              </w:rPr>
              <w:t>, Oxford University Press.</w:t>
            </w:r>
            <w:r w:rsidR="00476A28">
              <w:rPr>
                <w:rFonts w:cs="Times New Roman"/>
                <w:sz w:val="20"/>
                <w:szCs w:val="20"/>
              </w:rPr>
              <w:t xml:space="preserve"> 5</w:t>
            </w:r>
            <w:r w:rsidR="00476A28" w:rsidRPr="00476A2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476A28">
              <w:rPr>
                <w:rFonts w:cs="Times New Roman"/>
                <w:sz w:val="20"/>
                <w:szCs w:val="20"/>
              </w:rPr>
              <w:t xml:space="preserve"> Edition, 2013.</w:t>
            </w:r>
          </w:p>
        </w:tc>
      </w:tr>
      <w:tr w:rsidR="00D623C2" w:rsidRPr="006C4653" w:rsidTr="00F41042">
        <w:tc>
          <w:tcPr>
            <w:tcW w:w="1524" w:type="dxa"/>
            <w:vMerge/>
          </w:tcPr>
          <w:p w:rsidR="00D623C2" w:rsidRPr="006C4653" w:rsidRDefault="00D623C2" w:rsidP="00F4104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</w:tcBorders>
          </w:tcPr>
          <w:p w:rsidR="00D623C2" w:rsidRPr="006C4653" w:rsidRDefault="005C3514" w:rsidP="005C3514">
            <w:pPr>
              <w:jc w:val="both"/>
              <w:rPr>
                <w:rStyle w:val="MSGENFONTSTYLENAMETEMPLATEROLENUMBERMSGENFONTSTYLENAMEBYROLETEXT5"/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Corey, G., M.</w:t>
            </w:r>
            <w:r w:rsidR="00D623C2" w:rsidRPr="006C4653">
              <w:rPr>
                <w:rFonts w:cs="Times New Roman"/>
                <w:sz w:val="20"/>
                <w:szCs w:val="20"/>
              </w:rPr>
              <w:t xml:space="preserve"> Schneider Corey, </w:t>
            </w:r>
            <w:proofErr w:type="spellStart"/>
            <w:r>
              <w:rPr>
                <w:rFonts w:cs="Times New Roman"/>
                <w:sz w:val="20"/>
                <w:szCs w:val="20"/>
              </w:rPr>
              <w:t>Callanan</w:t>
            </w:r>
            <w:proofErr w:type="spellEnd"/>
            <w:r w:rsidR="00D623C2" w:rsidRPr="006C4653">
              <w:rPr>
                <w:rFonts w:cs="Times New Roman"/>
                <w:sz w:val="20"/>
                <w:szCs w:val="20"/>
              </w:rPr>
              <w:t>, P. “</w:t>
            </w:r>
            <w:r w:rsidR="00D623C2" w:rsidRPr="006C4653">
              <w:rPr>
                <w:rFonts w:cs="Times New Roman"/>
                <w:i/>
                <w:sz w:val="20"/>
                <w:szCs w:val="20"/>
              </w:rPr>
              <w:t xml:space="preserve">Issues and ethics in the helping professions”. </w:t>
            </w:r>
            <w:r w:rsidR="00D623C2" w:rsidRPr="006C4653">
              <w:rPr>
                <w:rFonts w:cs="Times New Roman"/>
                <w:sz w:val="20"/>
                <w:szCs w:val="20"/>
              </w:rPr>
              <w:t>CA: Brooks/Col</w:t>
            </w:r>
            <w:r>
              <w:rPr>
                <w:rFonts w:cs="Times New Roman"/>
                <w:sz w:val="20"/>
                <w:szCs w:val="20"/>
              </w:rPr>
              <w:t>e. 8</w:t>
            </w:r>
            <w:r w:rsidRPr="005C3514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Edition, 2010.</w:t>
            </w:r>
          </w:p>
        </w:tc>
      </w:tr>
      <w:tr w:rsidR="00D623C2" w:rsidRPr="006C4653" w:rsidTr="00F41042">
        <w:tc>
          <w:tcPr>
            <w:tcW w:w="1524" w:type="dxa"/>
            <w:vMerge/>
          </w:tcPr>
          <w:p w:rsidR="00D623C2" w:rsidRPr="006C4653" w:rsidRDefault="00D623C2" w:rsidP="00F4104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right w:val="nil"/>
            </w:tcBorders>
          </w:tcPr>
          <w:p w:rsidR="00D623C2" w:rsidRPr="006C4653" w:rsidRDefault="00D623C2" w:rsidP="00F410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7437" w:type="dxa"/>
            <w:tcBorders>
              <w:top w:val="nil"/>
              <w:left w:val="nil"/>
            </w:tcBorders>
          </w:tcPr>
          <w:p w:rsidR="00D623C2" w:rsidRPr="006C4653" w:rsidRDefault="00D623C2" w:rsidP="00F41042">
            <w:pPr>
              <w:tabs>
                <w:tab w:val="left" w:pos="567"/>
                <w:tab w:val="left" w:pos="993"/>
              </w:tabs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C4653">
              <w:rPr>
                <w:rFonts w:cs="Times New Roman"/>
                <w:sz w:val="20"/>
                <w:szCs w:val="20"/>
              </w:rPr>
              <w:t>Snyder, C.R. Lopez, Shane, J., &amp;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4653">
              <w:rPr>
                <w:rFonts w:cs="Times New Roman"/>
                <w:sz w:val="20"/>
                <w:szCs w:val="20"/>
              </w:rPr>
              <w:t>Pedrotti</w:t>
            </w:r>
            <w:proofErr w:type="spellEnd"/>
            <w:r w:rsidRPr="006C4653">
              <w:rPr>
                <w:rFonts w:cs="Times New Roman"/>
                <w:sz w:val="20"/>
                <w:szCs w:val="20"/>
              </w:rPr>
              <w:t>, J.T. “</w:t>
            </w:r>
            <w:r w:rsidRPr="006C4653">
              <w:rPr>
                <w:rFonts w:cs="Times New Roman"/>
                <w:i/>
                <w:sz w:val="20"/>
                <w:szCs w:val="20"/>
              </w:rPr>
              <w:t>Positive Psychology</w:t>
            </w:r>
            <w:r w:rsidR="005C3514">
              <w:rPr>
                <w:rFonts w:cs="Times New Roman"/>
                <w:i/>
                <w:sz w:val="20"/>
                <w:szCs w:val="20"/>
              </w:rPr>
              <w:t>: The Scientific and Practical Explorations of Human Strength</w:t>
            </w:r>
            <w:r w:rsidRPr="006C465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C4653">
              <w:rPr>
                <w:rFonts w:cs="Times New Roman"/>
                <w:sz w:val="20"/>
                <w:szCs w:val="20"/>
              </w:rPr>
              <w:t>(2</w:t>
            </w:r>
            <w:r w:rsidRPr="006C4653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 w:rsidR="005C3514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6C4653">
              <w:rPr>
                <w:rFonts w:cs="Times New Roman"/>
                <w:sz w:val="20"/>
                <w:szCs w:val="20"/>
              </w:rPr>
              <w:t>Edn</w:t>
            </w:r>
            <w:proofErr w:type="spellEnd"/>
            <w:r w:rsidRPr="006C4653">
              <w:rPr>
                <w:rFonts w:cs="Times New Roman"/>
                <w:sz w:val="20"/>
                <w:szCs w:val="20"/>
              </w:rPr>
              <w:t>). New Delhi: Sage</w:t>
            </w:r>
          </w:p>
        </w:tc>
      </w:tr>
    </w:tbl>
    <w:p w:rsidR="00DF3AE4" w:rsidRPr="0028576F" w:rsidRDefault="00DF3AE4" w:rsidP="002857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AE4" w:rsidRPr="0028576F" w:rsidSect="00D623C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576F"/>
    <w:rsid w:val="00066A3F"/>
    <w:rsid w:val="0028576F"/>
    <w:rsid w:val="00350D02"/>
    <w:rsid w:val="003D58E2"/>
    <w:rsid w:val="00476A28"/>
    <w:rsid w:val="005C3514"/>
    <w:rsid w:val="00751B31"/>
    <w:rsid w:val="0088676C"/>
    <w:rsid w:val="00D623C2"/>
    <w:rsid w:val="00DE61E3"/>
    <w:rsid w:val="00DF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C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uiPriority w:val="99"/>
    <w:rsid w:val="00D623C2"/>
    <w:rPr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uiPriority w:val="99"/>
    <w:rsid w:val="00D623C2"/>
    <w:pPr>
      <w:widowControl w:val="0"/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NoSpacing">
    <w:name w:val="No Spacing"/>
    <w:qFormat/>
    <w:rsid w:val="00D623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421</Words>
  <Characters>2401</Characters>
  <Application>Microsoft Office Word</Application>
  <DocSecurity>0</DocSecurity>
  <Lines>20</Lines>
  <Paragraphs>5</Paragraphs>
  <ScaleCrop>false</ScaleCrop>
  <Company>a-soft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2020-08-10T13:56:00Z</dcterms:created>
  <dcterms:modified xsi:type="dcterms:W3CDTF">2020-08-10T15:04:00Z</dcterms:modified>
</cp:coreProperties>
</file>